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B6" w:rsidRDefault="00F310B6" w:rsidP="00F310B6">
      <w:pPr>
        <w:ind w:left="567" w:right="567"/>
        <w:jc w:val="center"/>
        <w:rPr>
          <w:rFonts w:ascii="Garamond" w:hAnsi="Garamond" w:cs="Arial"/>
          <w:b/>
          <w:bCs/>
          <w:smallCaps/>
        </w:rPr>
      </w:pPr>
    </w:p>
    <w:p w:rsidR="00F310B6" w:rsidRDefault="00F310B6" w:rsidP="00F310B6">
      <w:pPr>
        <w:ind w:left="567" w:right="567"/>
        <w:jc w:val="center"/>
        <w:rPr>
          <w:rFonts w:ascii="Garamond" w:hAnsi="Garamond" w:cs="Arial"/>
          <w:b/>
          <w:bCs/>
          <w:smallCaps/>
        </w:rPr>
      </w:pPr>
    </w:p>
    <w:p w:rsidR="00F310B6" w:rsidRDefault="00F310B6" w:rsidP="00F310B6">
      <w:pPr>
        <w:ind w:left="567" w:right="567"/>
        <w:jc w:val="center"/>
        <w:rPr>
          <w:rFonts w:ascii="Garamond" w:hAnsi="Garamond" w:cs="Arial"/>
          <w:b/>
          <w:bCs/>
          <w:smallCaps/>
        </w:rPr>
      </w:pPr>
    </w:p>
    <w:p w:rsidR="00F310B6" w:rsidRDefault="00F310B6" w:rsidP="00F310B6">
      <w:pPr>
        <w:ind w:left="567" w:right="567"/>
        <w:jc w:val="center"/>
        <w:rPr>
          <w:rFonts w:ascii="Garamond" w:hAnsi="Garamond" w:cs="Arial"/>
          <w:b/>
          <w:bCs/>
          <w:smallCaps/>
        </w:rPr>
      </w:pPr>
    </w:p>
    <w:p w:rsidR="00F310B6" w:rsidRDefault="00F310B6" w:rsidP="00F310B6">
      <w:pPr>
        <w:ind w:left="567" w:right="567"/>
        <w:jc w:val="center"/>
        <w:rPr>
          <w:rFonts w:ascii="Garamond" w:hAnsi="Garamond" w:cs="Arial"/>
          <w:b/>
          <w:bCs/>
          <w:smallCaps/>
        </w:rPr>
      </w:pPr>
    </w:p>
    <w:p w:rsidR="00F310B6" w:rsidRDefault="00F310B6" w:rsidP="00F310B6">
      <w:pPr>
        <w:ind w:left="567" w:right="567"/>
        <w:jc w:val="center"/>
        <w:rPr>
          <w:rFonts w:ascii="Garamond" w:hAnsi="Garamond" w:cs="Arial"/>
          <w:b/>
          <w:bCs/>
          <w:smallCaps/>
        </w:rPr>
      </w:pPr>
    </w:p>
    <w:p w:rsidR="00F310B6" w:rsidRPr="00BE2FB7" w:rsidRDefault="00F310B6" w:rsidP="00F310B6">
      <w:pPr>
        <w:ind w:left="567" w:right="567"/>
        <w:jc w:val="center"/>
        <w:rPr>
          <w:rFonts w:ascii="Garamond" w:hAnsi="Garamond" w:cs="Arial"/>
          <w:b/>
          <w:bCs/>
          <w:smallCaps/>
        </w:rPr>
      </w:pPr>
      <w:r w:rsidRPr="00BE2FB7">
        <w:rPr>
          <w:rFonts w:ascii="Garamond" w:hAnsi="Garamond" w:cs="Arial"/>
          <w:b/>
          <w:bCs/>
          <w:smallCaps/>
        </w:rPr>
        <w:t xml:space="preserve">Evoluzione tecnologica del SIAN </w:t>
      </w:r>
    </w:p>
    <w:p w:rsidR="00F310B6" w:rsidRDefault="00F310B6" w:rsidP="00F310B6">
      <w:pPr>
        <w:pStyle w:val="titolo"/>
        <w:rPr>
          <w:color w:val="000000"/>
        </w:rPr>
      </w:pPr>
    </w:p>
    <w:p w:rsidR="00F310B6" w:rsidRDefault="00F310B6" w:rsidP="00F310B6">
      <w:pPr>
        <w:pStyle w:val="titolo"/>
        <w:rPr>
          <w:color w:val="000000"/>
        </w:rPr>
      </w:pPr>
    </w:p>
    <w:p w:rsidR="00F310B6" w:rsidRPr="00343863" w:rsidRDefault="00EE55A0" w:rsidP="00F310B6">
      <w:pPr>
        <w:pStyle w:val="titolo"/>
        <w:rPr>
          <w:color w:val="000000"/>
        </w:rPr>
      </w:pPr>
      <w:r>
        <w:rPr>
          <w:color w:val="000000"/>
        </w:rPr>
        <w:t>NOTA SINCRONIZZAZIONE GIS</w:t>
      </w:r>
    </w:p>
    <w:p w:rsidR="00F310B6" w:rsidRDefault="00F310B6" w:rsidP="00F310B6">
      <w:pPr>
        <w:pStyle w:val="titolo"/>
        <w:rPr>
          <w:color w:val="000000"/>
        </w:rPr>
      </w:pPr>
    </w:p>
    <w:p w:rsidR="00F310B6" w:rsidRPr="00BD49CB" w:rsidRDefault="00F310B6" w:rsidP="00F310B6">
      <w:pPr>
        <w:pStyle w:val="titolo"/>
        <w:rPr>
          <w:color w:val="000000"/>
        </w:rPr>
      </w:pPr>
      <w:r>
        <w:rPr>
          <w:color w:val="000000"/>
        </w:rPr>
        <w:t>Soluzione Informatica</w:t>
      </w:r>
    </w:p>
    <w:p w:rsidR="002E0E00" w:rsidRDefault="002E0E00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F310B6" w:rsidRDefault="00F310B6" w:rsidP="00F310B6">
      <w:pPr>
        <w:jc w:val="center"/>
      </w:pPr>
    </w:p>
    <w:p w:rsidR="00111688" w:rsidRPr="00111688" w:rsidRDefault="00111688" w:rsidP="00111688">
      <w:pPr>
        <w:jc w:val="center"/>
        <w:rPr>
          <w:b/>
          <w:sz w:val="28"/>
        </w:rPr>
      </w:pPr>
      <w:r w:rsidRPr="00111688">
        <w:rPr>
          <w:b/>
          <w:sz w:val="28"/>
        </w:rPr>
        <w:lastRenderedPageBreak/>
        <w:t>Alimentazione Sistema di Sincronizzazione</w:t>
      </w:r>
    </w:p>
    <w:p w:rsidR="00111688" w:rsidRDefault="00111688" w:rsidP="00F310B6"/>
    <w:p w:rsidR="00F310B6" w:rsidRDefault="00896BA4" w:rsidP="00F310B6">
      <w:r>
        <w:t xml:space="preserve">Il sistema di Sincronizzazione dei dati avviene tramite l’utilizzo del prodotto Informatica </w:t>
      </w:r>
      <w:proofErr w:type="spellStart"/>
      <w:r>
        <w:t>PowerExchange</w:t>
      </w:r>
      <w:proofErr w:type="spellEnd"/>
      <w:r>
        <w:t xml:space="preserve"> ed Informatica </w:t>
      </w:r>
      <w:proofErr w:type="spellStart"/>
      <w:r>
        <w:t>PowerCenter</w:t>
      </w:r>
      <w:proofErr w:type="spellEnd"/>
      <w:r>
        <w:t>.</w:t>
      </w:r>
    </w:p>
    <w:p w:rsidR="00896BA4" w:rsidRDefault="00896BA4" w:rsidP="00F310B6"/>
    <w:p w:rsidR="00896BA4" w:rsidRDefault="00896BA4" w:rsidP="00F310B6">
      <w:r>
        <w:t xml:space="preserve">Nella prima fase del processo, il servizio di </w:t>
      </w:r>
      <w:proofErr w:type="spellStart"/>
      <w:r>
        <w:t>Change</w:t>
      </w:r>
      <w:proofErr w:type="spellEnd"/>
      <w:r>
        <w:t xml:space="preserve"> Data </w:t>
      </w:r>
      <w:proofErr w:type="spellStart"/>
      <w:r>
        <w:t>Capture</w:t>
      </w:r>
      <w:proofErr w:type="spellEnd"/>
      <w:r>
        <w:t xml:space="preserve"> (</w:t>
      </w:r>
      <w:proofErr w:type="spellStart"/>
      <w:r>
        <w:t>PowerExchange</w:t>
      </w:r>
      <w:proofErr w:type="spellEnd"/>
      <w:r>
        <w:t xml:space="preserve">) legge in tempo reale i log del database </w:t>
      </w:r>
      <w:r w:rsidR="00EE55A0">
        <w:t>dell’OP</w:t>
      </w:r>
      <w:r w:rsidR="001550CC">
        <w:t xml:space="preserve"> e scrive i record all’interno del sistema di sincronizzazione (Fig. 1)</w:t>
      </w:r>
    </w:p>
    <w:p w:rsidR="004324EC" w:rsidRDefault="004324EC" w:rsidP="00F310B6">
      <w:r w:rsidRPr="004324EC">
        <w:rPr>
          <w:noProof/>
        </w:rPr>
        <w:drawing>
          <wp:inline distT="0" distB="0" distL="0" distR="0">
            <wp:extent cx="6120130" cy="3759785"/>
            <wp:effectExtent l="0" t="0" r="0" b="0"/>
            <wp:docPr id="6" name="Immagine 6" descr="C:\Users\s.mascolo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mascolo\Desktop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0CC" w:rsidRDefault="001550CC" w:rsidP="00F310B6"/>
    <w:p w:rsidR="001550CC" w:rsidRPr="001550CC" w:rsidRDefault="001550CC" w:rsidP="001550CC">
      <w:pPr>
        <w:jc w:val="center"/>
      </w:pPr>
      <w:r w:rsidRPr="001550CC">
        <w:rPr>
          <w:b/>
          <w:sz w:val="20"/>
        </w:rPr>
        <w:t>Figura 1 – Sistema di Si</w:t>
      </w:r>
      <w:r>
        <w:rPr>
          <w:b/>
          <w:sz w:val="20"/>
        </w:rPr>
        <w:t>n</w:t>
      </w:r>
      <w:r w:rsidRPr="001550CC">
        <w:rPr>
          <w:b/>
          <w:sz w:val="20"/>
        </w:rPr>
        <w:t>cronizzazione</w:t>
      </w:r>
    </w:p>
    <w:p w:rsidR="001550CC" w:rsidRDefault="001550CC" w:rsidP="00F310B6"/>
    <w:p w:rsidR="001550CC" w:rsidRDefault="001550CC" w:rsidP="00F310B6">
      <w:r>
        <w:t>Le tabelle oggetto di sincronizzazione sono</w:t>
      </w:r>
      <w:r w:rsidR="000D44F9">
        <w:t xml:space="preserve"> relative</w:t>
      </w:r>
      <w:r>
        <w:t>:</w:t>
      </w:r>
    </w:p>
    <w:p w:rsidR="001550CC" w:rsidRDefault="000D44F9" w:rsidP="001550CC">
      <w:pPr>
        <w:pStyle w:val="Paragrafoelenco"/>
        <w:numPr>
          <w:ilvl w:val="0"/>
          <w:numId w:val="1"/>
        </w:numPr>
      </w:pPr>
      <w:r>
        <w:t>Al Catalogo dei comuni/sezioni</w:t>
      </w:r>
    </w:p>
    <w:p w:rsidR="000D44F9" w:rsidRDefault="000D44F9" w:rsidP="001550CC">
      <w:pPr>
        <w:pStyle w:val="Paragrafoelenco"/>
        <w:numPr>
          <w:ilvl w:val="0"/>
          <w:numId w:val="1"/>
        </w:numPr>
      </w:pPr>
      <w:proofErr w:type="spellStart"/>
      <w:r>
        <w:t>Centroidi</w:t>
      </w:r>
      <w:proofErr w:type="spellEnd"/>
    </w:p>
    <w:p w:rsidR="001550CC" w:rsidRDefault="000D44F9" w:rsidP="001550CC">
      <w:pPr>
        <w:pStyle w:val="Paragrafoelenco"/>
        <w:numPr>
          <w:ilvl w:val="0"/>
          <w:numId w:val="1"/>
        </w:numPr>
      </w:pPr>
      <w:r>
        <w:t>Particelle</w:t>
      </w:r>
    </w:p>
    <w:p w:rsidR="001550CC" w:rsidRDefault="000D44F9" w:rsidP="001550CC">
      <w:pPr>
        <w:pStyle w:val="Paragrafoelenco"/>
        <w:numPr>
          <w:ilvl w:val="0"/>
          <w:numId w:val="1"/>
        </w:numPr>
      </w:pPr>
      <w:r>
        <w:t>U</w:t>
      </w:r>
      <w:r w:rsidR="001550CC">
        <w:t xml:space="preserve">si </w:t>
      </w:r>
      <w:r>
        <w:t>del suolo</w:t>
      </w:r>
    </w:p>
    <w:p w:rsidR="001550CC" w:rsidRDefault="000D44F9" w:rsidP="001550CC">
      <w:pPr>
        <w:pStyle w:val="Paragrafoelenco"/>
        <w:numPr>
          <w:ilvl w:val="0"/>
          <w:numId w:val="1"/>
        </w:numPr>
      </w:pPr>
      <w:r>
        <w:t>Piante</w:t>
      </w:r>
    </w:p>
    <w:p w:rsidR="001550CC" w:rsidRDefault="000D44F9" w:rsidP="001550CC">
      <w:pPr>
        <w:pStyle w:val="Paragrafoelenco"/>
        <w:numPr>
          <w:ilvl w:val="0"/>
          <w:numId w:val="1"/>
        </w:numPr>
      </w:pPr>
      <w:r>
        <w:t>Unità arboree</w:t>
      </w:r>
    </w:p>
    <w:p w:rsidR="001550CC" w:rsidRDefault="000D44F9" w:rsidP="000D44F9">
      <w:pPr>
        <w:pStyle w:val="Paragrafoelenco"/>
        <w:numPr>
          <w:ilvl w:val="0"/>
          <w:numId w:val="1"/>
        </w:numPr>
      </w:pPr>
      <w:r>
        <w:t>Attitudini unità arboree</w:t>
      </w:r>
    </w:p>
    <w:p w:rsidR="001550CC" w:rsidRDefault="000D44F9" w:rsidP="001550CC">
      <w:pPr>
        <w:pStyle w:val="Paragrafoelenco"/>
        <w:numPr>
          <w:ilvl w:val="0"/>
          <w:numId w:val="1"/>
        </w:numPr>
      </w:pPr>
      <w:r>
        <w:t>Varietà unità arboree</w:t>
      </w:r>
    </w:p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0D44F9" w:rsidRDefault="000D44F9" w:rsidP="001550CC"/>
    <w:p w:rsidR="000D44F9" w:rsidRDefault="000D44F9" w:rsidP="001550CC"/>
    <w:p w:rsidR="000D44F9" w:rsidRDefault="000D44F9" w:rsidP="001550CC"/>
    <w:p w:rsidR="000D44F9" w:rsidRDefault="000D44F9" w:rsidP="001550CC"/>
    <w:p w:rsidR="000D44F9" w:rsidRDefault="000D44F9" w:rsidP="001550CC"/>
    <w:p w:rsidR="00CD1BD4" w:rsidRDefault="00CD1BD4" w:rsidP="001550CC">
      <w:r>
        <w:lastRenderedPageBreak/>
        <w:t xml:space="preserve">Le tabelle all’intero del sistema di sincronizzazione vengono popolate nel modo descritto nella figura 2 </w:t>
      </w:r>
    </w:p>
    <w:p w:rsidR="00CD1BD4" w:rsidRDefault="00CD1BD4" w:rsidP="001550CC"/>
    <w:p w:rsidR="00CD1BD4" w:rsidRDefault="00CD1BD4" w:rsidP="001550CC">
      <w:r>
        <w:rPr>
          <w:noProof/>
        </w:rPr>
        <w:drawing>
          <wp:inline distT="0" distB="0" distL="0" distR="0" wp14:anchorId="62CB6B62" wp14:editId="4F091C47">
            <wp:extent cx="6120130" cy="324548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BD4" w:rsidRDefault="008E1C5B" w:rsidP="008E1C5B">
      <w:pPr>
        <w:jc w:val="center"/>
      </w:pPr>
      <w:r>
        <w:rPr>
          <w:b/>
          <w:sz w:val="20"/>
        </w:rPr>
        <w:t>Figura 2</w:t>
      </w:r>
      <w:r w:rsidRPr="001550CC">
        <w:rPr>
          <w:b/>
          <w:sz w:val="20"/>
        </w:rPr>
        <w:t xml:space="preserve"> – </w:t>
      </w:r>
      <w:r>
        <w:rPr>
          <w:b/>
          <w:sz w:val="20"/>
        </w:rPr>
        <w:t>Tabelle</w:t>
      </w:r>
      <w:r w:rsidRPr="001550CC">
        <w:rPr>
          <w:b/>
          <w:sz w:val="20"/>
        </w:rPr>
        <w:t xml:space="preserve"> </w:t>
      </w:r>
      <w:r>
        <w:rPr>
          <w:b/>
          <w:sz w:val="20"/>
        </w:rPr>
        <w:t>in</w:t>
      </w:r>
      <w:r w:rsidRPr="001550CC">
        <w:rPr>
          <w:b/>
          <w:sz w:val="20"/>
        </w:rPr>
        <w:t xml:space="preserve"> Si</w:t>
      </w:r>
      <w:r>
        <w:rPr>
          <w:b/>
          <w:sz w:val="20"/>
        </w:rPr>
        <w:t>n</w:t>
      </w:r>
      <w:r w:rsidRPr="001550CC">
        <w:rPr>
          <w:b/>
          <w:sz w:val="20"/>
        </w:rPr>
        <w:t>cronizzazione</w:t>
      </w:r>
    </w:p>
    <w:p w:rsidR="008E1C5B" w:rsidRDefault="008E1C5B" w:rsidP="001550CC"/>
    <w:p w:rsidR="00CD1BD4" w:rsidRDefault="00CD1BD4" w:rsidP="001550CC">
      <w:r>
        <w:t>Dalla figura 2 si evince che il sistema, oltre ad inserire i valori delle tabella sorgente, scrive anche le informazioni circa il tipo di operazione sul record (INSERT, UPDATE, DELETE) e la data di operazione con dettaglio sino al millisecondo.</w:t>
      </w:r>
    </w:p>
    <w:p w:rsidR="00CD1BD4" w:rsidRDefault="00CD1BD4" w:rsidP="001550CC"/>
    <w:p w:rsidR="00CD1BD4" w:rsidRDefault="00CD1BD4" w:rsidP="001550CC"/>
    <w:p w:rsidR="00CD1BD4" w:rsidRDefault="004D7C8D" w:rsidP="001550CC">
      <w:r>
        <w:t xml:space="preserve">Il servizio di </w:t>
      </w:r>
      <w:proofErr w:type="spellStart"/>
      <w:r>
        <w:t>Change</w:t>
      </w:r>
      <w:proofErr w:type="spellEnd"/>
      <w:r>
        <w:t xml:space="preserve"> Data </w:t>
      </w:r>
      <w:proofErr w:type="spellStart"/>
      <w:r>
        <w:t>Capture</w:t>
      </w:r>
      <w:proofErr w:type="spellEnd"/>
      <w:r>
        <w:t xml:space="preserve"> è impostato per essere eseguito in modalità “</w:t>
      </w:r>
      <w:proofErr w:type="spellStart"/>
      <w:r>
        <w:t>Run</w:t>
      </w:r>
      <w:proofErr w:type="spellEnd"/>
      <w:r>
        <w:t xml:space="preserve"> </w:t>
      </w:r>
      <w:proofErr w:type="spellStart"/>
      <w:r>
        <w:t>Continuousy</w:t>
      </w:r>
      <w:proofErr w:type="spellEnd"/>
      <w:r>
        <w:t>”</w:t>
      </w:r>
      <w:r w:rsidR="0024578A">
        <w:t>.</w:t>
      </w:r>
      <w:r w:rsidR="00111688">
        <w:t xml:space="preserve"> </w:t>
      </w:r>
      <w:r w:rsidR="0024578A">
        <w:t xml:space="preserve"> </w:t>
      </w:r>
    </w:p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111688" w:rsidRDefault="00111688" w:rsidP="001550CC"/>
    <w:p w:rsidR="000522C5" w:rsidRDefault="000522C5" w:rsidP="001550CC"/>
    <w:p w:rsidR="00111688" w:rsidRDefault="00111688" w:rsidP="001550CC"/>
    <w:p w:rsidR="00111688" w:rsidRDefault="00111688" w:rsidP="001550CC"/>
    <w:p w:rsidR="00111688" w:rsidRDefault="00111688" w:rsidP="00111688">
      <w:pPr>
        <w:jc w:val="center"/>
      </w:pPr>
      <w:r w:rsidRPr="00111688">
        <w:rPr>
          <w:b/>
          <w:sz w:val="28"/>
        </w:rPr>
        <w:lastRenderedPageBreak/>
        <w:t>Alimentazione Sistema</w:t>
      </w:r>
      <w:r>
        <w:rPr>
          <w:b/>
          <w:sz w:val="28"/>
        </w:rPr>
        <w:t xml:space="preserve"> SIAN</w:t>
      </w:r>
    </w:p>
    <w:p w:rsidR="004D7C8D" w:rsidRDefault="004D7C8D" w:rsidP="001550CC"/>
    <w:p w:rsidR="004D7C8D" w:rsidRDefault="00111688" w:rsidP="001550CC">
      <w:r>
        <w:t xml:space="preserve">Il sistema del SIAN viene alimentato utilizzando il sistema </w:t>
      </w:r>
      <w:proofErr w:type="spellStart"/>
      <w:r>
        <w:t>PowerCenter</w:t>
      </w:r>
      <w:proofErr w:type="spellEnd"/>
      <w:r>
        <w:t xml:space="preserve"> attraverso l’</w:t>
      </w:r>
      <w:r w:rsidR="00D8479F">
        <w:t xml:space="preserve">esecuzione dell’oggetto software </w:t>
      </w:r>
      <w:r w:rsidR="0024578A">
        <w:t>“</w:t>
      </w:r>
      <w:proofErr w:type="spellStart"/>
      <w:r w:rsidR="0024578A">
        <w:t>Workflow</w:t>
      </w:r>
      <w:proofErr w:type="spellEnd"/>
      <w:r w:rsidR="0024578A">
        <w:t>”.</w:t>
      </w:r>
    </w:p>
    <w:p w:rsidR="00111688" w:rsidRDefault="00111688" w:rsidP="001550CC"/>
    <w:p w:rsidR="00111688" w:rsidRDefault="00111688" w:rsidP="001550CC">
      <w:r>
        <w:t>Il sistema si basa sulla lettura del sistema di sincronizzazione popolato dal CDC e di una tabella dei log (AVVIO_SHAPE).</w:t>
      </w:r>
    </w:p>
    <w:p w:rsidR="00111688" w:rsidRDefault="00111688" w:rsidP="001550CC"/>
    <w:p w:rsidR="00111688" w:rsidRDefault="00111688" w:rsidP="001550CC">
      <w:r>
        <w:t xml:space="preserve">In pratica vengono prelevati tutti i record dal sistema di sincronizzazione dove la data di operazione impostata dal CDC </w:t>
      </w:r>
      <w:r w:rsidR="000522C5">
        <w:t>risulta</w:t>
      </w:r>
      <w:r>
        <w:t xml:space="preserve"> maggiore della data che rappresenta l’ultima esecuzione dell’aggiornamento delle tabelle prelevata dal log.</w:t>
      </w:r>
    </w:p>
    <w:p w:rsidR="00111688" w:rsidRDefault="00111688" w:rsidP="001550CC"/>
    <w:p w:rsidR="00111688" w:rsidRDefault="001B4C81" w:rsidP="001550CC">
      <w:r>
        <w:rPr>
          <w:noProof/>
        </w:rPr>
        <w:drawing>
          <wp:inline distT="0" distB="0" distL="0" distR="0">
            <wp:extent cx="6057900" cy="340042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688" w:rsidRDefault="00111688" w:rsidP="00111688">
      <w:pPr>
        <w:jc w:val="center"/>
      </w:pPr>
      <w:r>
        <w:rPr>
          <w:b/>
          <w:sz w:val="20"/>
        </w:rPr>
        <w:t>Figura 3</w:t>
      </w:r>
      <w:r w:rsidRPr="001550CC">
        <w:rPr>
          <w:b/>
          <w:sz w:val="20"/>
        </w:rPr>
        <w:t xml:space="preserve"> – </w:t>
      </w:r>
      <w:r>
        <w:rPr>
          <w:b/>
          <w:sz w:val="20"/>
        </w:rPr>
        <w:t>Estrazione da</w:t>
      </w:r>
      <w:r w:rsidRPr="001550CC">
        <w:rPr>
          <w:b/>
          <w:sz w:val="20"/>
        </w:rPr>
        <w:t xml:space="preserve"> Si</w:t>
      </w:r>
      <w:r>
        <w:rPr>
          <w:b/>
          <w:sz w:val="20"/>
        </w:rPr>
        <w:t>n</w:t>
      </w:r>
      <w:r w:rsidRPr="001550CC">
        <w:rPr>
          <w:b/>
          <w:sz w:val="20"/>
        </w:rPr>
        <w:t>cronizzazione</w:t>
      </w:r>
    </w:p>
    <w:p w:rsidR="00111688" w:rsidRDefault="00111688" w:rsidP="001550CC"/>
    <w:p w:rsidR="00111688" w:rsidRDefault="00111688" w:rsidP="001550CC"/>
    <w:p w:rsidR="00111688" w:rsidRDefault="00111688" w:rsidP="001550CC">
      <w:r>
        <w:t>In tale fase se per lo stesso record, individuato in corrispondenza della chiave primaria defini</w:t>
      </w:r>
      <w:r w:rsidR="001B4C81">
        <w:t>ta all’interno del database dell’OP</w:t>
      </w:r>
      <w:r>
        <w:t>, ci sono più occorrenze all’interno del sistema di sincronizzazione si preleva il record con data operazione maggiore.</w:t>
      </w:r>
    </w:p>
    <w:p w:rsidR="00111688" w:rsidRDefault="00111688" w:rsidP="001550CC"/>
    <w:p w:rsidR="00111688" w:rsidRDefault="00111688" w:rsidP="001550CC">
      <w:r>
        <w:t xml:space="preserve">Il sistema filtra i dati eliminando quelle che hanno uno stato pari al “DELETE”, recupera il campo </w:t>
      </w:r>
      <w:proofErr w:type="spellStart"/>
      <w:r>
        <w:t>Shape</w:t>
      </w:r>
      <w:proofErr w:type="spellEnd"/>
      <w:r>
        <w:t xml:space="preserve"> direttamente dal database dell’OP </w:t>
      </w:r>
      <w:r w:rsidR="00F03BA3">
        <w:t>ed</w:t>
      </w:r>
      <w:r>
        <w:t xml:space="preserve"> inserisce</w:t>
      </w:r>
      <w:r w:rsidR="00F03BA3">
        <w:t xml:space="preserve"> gli stessi</w:t>
      </w:r>
      <w:r>
        <w:t xml:space="preserve"> in un’area di </w:t>
      </w:r>
      <w:proofErr w:type="spellStart"/>
      <w:r>
        <w:t>Staging</w:t>
      </w:r>
      <w:proofErr w:type="spellEnd"/>
      <w:r>
        <w:t xml:space="preserve"> (Fig. 3).</w:t>
      </w:r>
    </w:p>
    <w:p w:rsidR="00111688" w:rsidRDefault="00111688" w:rsidP="001550CC"/>
    <w:p w:rsidR="00111688" w:rsidRDefault="00111688" w:rsidP="001550CC"/>
    <w:p w:rsidR="00F03BA3" w:rsidRDefault="00F03BA3" w:rsidP="001550CC">
      <w:r>
        <w:t xml:space="preserve">Successivamente vengono prelevati i record all’intero di AGEA ed inseriti nella stessa area di </w:t>
      </w:r>
      <w:proofErr w:type="spellStart"/>
      <w:r>
        <w:t>Staging</w:t>
      </w:r>
      <w:proofErr w:type="spellEnd"/>
      <w:r>
        <w:t xml:space="preserve"> (Fig. 4).</w:t>
      </w:r>
    </w:p>
    <w:p w:rsidR="00F03BA3" w:rsidRDefault="00F03BA3" w:rsidP="001550CC"/>
    <w:p w:rsidR="00F03BA3" w:rsidRDefault="00F03BA3" w:rsidP="001550CC">
      <w:r>
        <w:t xml:space="preserve">Vengono prelevati da AGEA soltanto i record che sono stati movimentati </w:t>
      </w:r>
      <w:r w:rsidR="009B5E3A">
        <w:t>dall’OP</w:t>
      </w:r>
      <w:r>
        <w:t>.</w:t>
      </w:r>
    </w:p>
    <w:p w:rsidR="00F03BA3" w:rsidRDefault="00F03BA3" w:rsidP="001550CC"/>
    <w:p w:rsidR="00F03BA3" w:rsidRDefault="00F03BA3" w:rsidP="001550CC">
      <w:r>
        <w:rPr>
          <w:noProof/>
        </w:rPr>
        <w:lastRenderedPageBreak/>
        <w:drawing>
          <wp:inline distT="0" distB="0" distL="0" distR="0" wp14:anchorId="55D4F3AF" wp14:editId="049A315E">
            <wp:extent cx="6120130" cy="335343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5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BA3" w:rsidRDefault="007A5089" w:rsidP="007A5089">
      <w:pPr>
        <w:jc w:val="center"/>
      </w:pPr>
      <w:r>
        <w:rPr>
          <w:b/>
          <w:sz w:val="20"/>
        </w:rPr>
        <w:t>Figura 4</w:t>
      </w:r>
      <w:r w:rsidRPr="001550CC">
        <w:rPr>
          <w:b/>
          <w:sz w:val="20"/>
        </w:rPr>
        <w:t xml:space="preserve"> – </w:t>
      </w:r>
      <w:r>
        <w:rPr>
          <w:b/>
          <w:sz w:val="20"/>
        </w:rPr>
        <w:t>Estrazione da AGEA</w:t>
      </w:r>
    </w:p>
    <w:p w:rsidR="007A5089" w:rsidRDefault="007A5089" w:rsidP="001550CC"/>
    <w:p w:rsidR="007A5089" w:rsidRDefault="007A5089" w:rsidP="001550CC"/>
    <w:p w:rsidR="00F03BA3" w:rsidRDefault="007A5089" w:rsidP="001550CC">
      <w:r>
        <w:t xml:space="preserve">A questo punto il sistema di sincronizzazione effettua il merge tra i dati </w:t>
      </w:r>
      <w:r w:rsidR="009B5E3A">
        <w:t>dell’OP</w:t>
      </w:r>
      <w:r>
        <w:t xml:space="preserve"> ed AGEA facendo in modo che la chiave </w:t>
      </w:r>
      <w:proofErr w:type="spellStart"/>
      <w:r>
        <w:t>castastale</w:t>
      </w:r>
      <w:proofErr w:type="spellEnd"/>
      <w:r>
        <w:t xml:space="preserve"> (formata dal COD_NAZIONALE, FOGLIO, PARTICELLA, SUB) e la data inizio validità del record rimanga intatta rispetto all’origine del dato e che la data di fine validità sia impostata pari alla data inizio validità del record successivo meno un secondo (fig. 5).</w:t>
      </w:r>
    </w:p>
    <w:p w:rsidR="007A5089" w:rsidRDefault="007A5089" w:rsidP="001550CC"/>
    <w:p w:rsidR="007A5089" w:rsidRDefault="009B5E3A" w:rsidP="001550CC">
      <w:r>
        <w:rPr>
          <w:noProof/>
        </w:rPr>
        <w:drawing>
          <wp:inline distT="0" distB="0" distL="0" distR="0">
            <wp:extent cx="6115050" cy="272415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089" w:rsidRDefault="007A5089" w:rsidP="001550CC"/>
    <w:p w:rsidR="007A5089" w:rsidRDefault="007A5089" w:rsidP="007A5089">
      <w:pPr>
        <w:jc w:val="center"/>
      </w:pPr>
      <w:r>
        <w:rPr>
          <w:b/>
          <w:sz w:val="20"/>
        </w:rPr>
        <w:t>Figura 5</w:t>
      </w:r>
      <w:r w:rsidRPr="001550CC">
        <w:rPr>
          <w:b/>
          <w:sz w:val="20"/>
        </w:rPr>
        <w:t xml:space="preserve"> – </w:t>
      </w:r>
      <w:r>
        <w:rPr>
          <w:b/>
          <w:sz w:val="20"/>
        </w:rPr>
        <w:t>Merge dati</w:t>
      </w:r>
    </w:p>
    <w:p w:rsidR="007A5089" w:rsidRDefault="007A5089" w:rsidP="001550CC"/>
    <w:p w:rsidR="007A5089" w:rsidRDefault="007A5089" w:rsidP="001550CC"/>
    <w:p w:rsidR="007A5089" w:rsidRDefault="007A5089" w:rsidP="001550CC"/>
    <w:p w:rsidR="007A5089" w:rsidRDefault="001C7AFE" w:rsidP="001550CC">
      <w:r>
        <w:t xml:space="preserve">L’ultimo </w:t>
      </w:r>
      <w:proofErr w:type="spellStart"/>
      <w:r>
        <w:t>step</w:t>
      </w:r>
      <w:proofErr w:type="spellEnd"/>
      <w:r>
        <w:t xml:space="preserve"> è rappresentato dall’aggiornamento di AGEA con i dati dell’area di STAGING e l’aggiornamento della tabella dei LOG.</w:t>
      </w:r>
    </w:p>
    <w:p w:rsidR="001C7AFE" w:rsidRDefault="001C7AFE" w:rsidP="001550CC"/>
    <w:p w:rsidR="001C7AFE" w:rsidRDefault="001C7AFE" w:rsidP="001550CC"/>
    <w:p w:rsidR="001C7AFE" w:rsidRDefault="001C7AFE" w:rsidP="001550CC"/>
    <w:p w:rsidR="007A5089" w:rsidRDefault="007A5089" w:rsidP="001550CC"/>
    <w:p w:rsidR="007A5089" w:rsidRDefault="001C7AFE" w:rsidP="007A5089">
      <w:r>
        <w:t>E</w:t>
      </w:r>
      <w:r w:rsidR="007A5089">
        <w:t>sempio</w:t>
      </w:r>
      <w:r>
        <w:t xml:space="preserve"> Merge</w:t>
      </w:r>
      <w:r w:rsidR="007A5089">
        <w:t>:</w:t>
      </w:r>
    </w:p>
    <w:p w:rsidR="007A5089" w:rsidRDefault="007A5089" w:rsidP="007A5089"/>
    <w:p w:rsidR="007A5089" w:rsidRDefault="007A5089" w:rsidP="007A5089"/>
    <w:p w:rsidR="007A5089" w:rsidRPr="007A5089" w:rsidRDefault="009B5E3A" w:rsidP="007A5089">
      <w:r>
        <w:t>OP</w:t>
      </w:r>
      <w:r w:rsidR="007A5089" w:rsidRPr="007A5089">
        <w:t xml:space="preserve"> tempo 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10/11/2012</w:t>
            </w:r>
          </w:p>
        </w:tc>
        <w:tc>
          <w:tcPr>
            <w:tcW w:w="3210" w:type="dxa"/>
          </w:tcPr>
          <w:p w:rsidR="007A5089" w:rsidRDefault="007A5089" w:rsidP="007A5089">
            <w:r>
              <w:t>31/12/9999</w:t>
            </w:r>
          </w:p>
        </w:tc>
      </w:tr>
    </w:tbl>
    <w:p w:rsidR="007A5089" w:rsidRPr="007A5089" w:rsidRDefault="007A5089" w:rsidP="007A5089">
      <w:r w:rsidRPr="007A5089">
        <w:t>AGEA tempo 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/>
        </w:tc>
        <w:tc>
          <w:tcPr>
            <w:tcW w:w="3209" w:type="dxa"/>
          </w:tcPr>
          <w:p w:rsidR="007A5089" w:rsidRDefault="007A5089" w:rsidP="007A5089"/>
        </w:tc>
        <w:tc>
          <w:tcPr>
            <w:tcW w:w="3210" w:type="dxa"/>
          </w:tcPr>
          <w:p w:rsidR="007A5089" w:rsidRDefault="007A5089" w:rsidP="007A5089"/>
        </w:tc>
      </w:tr>
      <w:tr w:rsidR="007A5089" w:rsidTr="00447A89">
        <w:tc>
          <w:tcPr>
            <w:tcW w:w="3209" w:type="dxa"/>
          </w:tcPr>
          <w:p w:rsidR="007A5089" w:rsidRDefault="007A5089" w:rsidP="007A5089"/>
        </w:tc>
        <w:tc>
          <w:tcPr>
            <w:tcW w:w="3209" w:type="dxa"/>
          </w:tcPr>
          <w:p w:rsidR="007A5089" w:rsidRDefault="007A5089" w:rsidP="007A5089"/>
        </w:tc>
        <w:tc>
          <w:tcPr>
            <w:tcW w:w="3210" w:type="dxa"/>
          </w:tcPr>
          <w:p w:rsidR="007A5089" w:rsidRDefault="007A5089" w:rsidP="007A5089"/>
        </w:tc>
      </w:tr>
    </w:tbl>
    <w:p w:rsidR="007A5089" w:rsidRDefault="007A5089" w:rsidP="007A5089"/>
    <w:p w:rsidR="007A5089" w:rsidRDefault="007A5089" w:rsidP="007A5089">
      <w:r>
        <w:t>Dopo la prima sincronizzazione</w:t>
      </w:r>
    </w:p>
    <w:p w:rsidR="007A5089" w:rsidRPr="007A5089" w:rsidRDefault="009B5E3A" w:rsidP="007A5089">
      <w:r>
        <w:t>OP</w:t>
      </w:r>
      <w:r w:rsidR="007A5089" w:rsidRPr="007A5089">
        <w:t xml:space="preserve"> tempo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10/11/2012</w:t>
            </w:r>
          </w:p>
        </w:tc>
        <w:tc>
          <w:tcPr>
            <w:tcW w:w="3210" w:type="dxa"/>
          </w:tcPr>
          <w:p w:rsidR="007A5089" w:rsidRDefault="007A5089" w:rsidP="007A5089">
            <w:r>
              <w:t>31/12/9999</w:t>
            </w:r>
          </w:p>
        </w:tc>
      </w:tr>
    </w:tbl>
    <w:p w:rsidR="007A5089" w:rsidRPr="007A5089" w:rsidRDefault="007A5089" w:rsidP="007A5089">
      <w:r w:rsidRPr="007A5089">
        <w:t>AGEA tempo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10/11/2012</w:t>
            </w:r>
          </w:p>
        </w:tc>
        <w:tc>
          <w:tcPr>
            <w:tcW w:w="3210" w:type="dxa"/>
          </w:tcPr>
          <w:p w:rsidR="007A5089" w:rsidRDefault="007A5089" w:rsidP="007A5089">
            <w:r>
              <w:t>31/12/9999</w:t>
            </w:r>
          </w:p>
        </w:tc>
      </w:tr>
    </w:tbl>
    <w:p w:rsidR="007A5089" w:rsidRDefault="007A5089" w:rsidP="007A5089"/>
    <w:p w:rsidR="007A5089" w:rsidRDefault="007A5089" w:rsidP="007A5089">
      <w:r>
        <w:t>Se al tempo 2 la particella AA01 in AGEA ha una modifica avremo la seguente situazione:</w:t>
      </w:r>
    </w:p>
    <w:p w:rsidR="007A5089" w:rsidRDefault="007A5089" w:rsidP="007A5089"/>
    <w:p w:rsidR="007A5089" w:rsidRDefault="007A5089" w:rsidP="007A5089"/>
    <w:p w:rsidR="007A5089" w:rsidRDefault="007A5089" w:rsidP="007A5089"/>
    <w:p w:rsidR="007A5089" w:rsidRDefault="007A5089" w:rsidP="007A5089"/>
    <w:p w:rsidR="007A5089" w:rsidRPr="007A5089" w:rsidRDefault="007A5089" w:rsidP="007A5089">
      <w:r>
        <w:t xml:space="preserve"> </w:t>
      </w:r>
      <w:r w:rsidR="009B5E3A">
        <w:t>OP</w:t>
      </w:r>
      <w:r w:rsidRPr="007A5089">
        <w:t xml:space="preserve"> tempo 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10/11/2012</w:t>
            </w:r>
          </w:p>
        </w:tc>
        <w:tc>
          <w:tcPr>
            <w:tcW w:w="3210" w:type="dxa"/>
          </w:tcPr>
          <w:p w:rsidR="007A5089" w:rsidRDefault="007A5089" w:rsidP="007A5089">
            <w:r>
              <w:t>31/12/9999</w:t>
            </w:r>
          </w:p>
        </w:tc>
      </w:tr>
    </w:tbl>
    <w:p w:rsidR="007A5089" w:rsidRPr="007A5089" w:rsidRDefault="007A5089" w:rsidP="007A5089">
      <w:r w:rsidRPr="007A5089">
        <w:t>AGEA tempo 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10/11/2012</w:t>
            </w:r>
          </w:p>
        </w:tc>
        <w:tc>
          <w:tcPr>
            <w:tcW w:w="3210" w:type="dxa"/>
          </w:tcPr>
          <w:p w:rsidR="007A5089" w:rsidRDefault="007A5089" w:rsidP="007A5089">
            <w:r>
              <w:t>01/02/2013 -1 secondo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01/02/2013</w:t>
            </w:r>
          </w:p>
        </w:tc>
        <w:tc>
          <w:tcPr>
            <w:tcW w:w="3210" w:type="dxa"/>
          </w:tcPr>
          <w:p w:rsidR="007A5089" w:rsidRDefault="007A5089" w:rsidP="007A5089">
            <w:r>
              <w:t>31/12/9999</w:t>
            </w:r>
          </w:p>
        </w:tc>
      </w:tr>
    </w:tbl>
    <w:p w:rsidR="007A5089" w:rsidRDefault="007A5089" w:rsidP="007A5089"/>
    <w:p w:rsidR="007A5089" w:rsidRDefault="007A5089" w:rsidP="007A5089">
      <w:r>
        <w:t xml:space="preserve">Se dopo il tempo 2 in </w:t>
      </w:r>
      <w:r w:rsidR="009B5E3A">
        <w:t>OP</w:t>
      </w:r>
      <w:r>
        <w:t xml:space="preserve"> viene lavorata la particella AA01 avremo la seguente situazione</w:t>
      </w:r>
    </w:p>
    <w:p w:rsidR="007A5089" w:rsidRDefault="007A5089" w:rsidP="007A5089"/>
    <w:p w:rsidR="007A5089" w:rsidRPr="007A5089" w:rsidRDefault="007A5089" w:rsidP="007A5089">
      <w:r>
        <w:t xml:space="preserve"> </w:t>
      </w:r>
      <w:r w:rsidR="009B5E3A">
        <w:t>OP</w:t>
      </w:r>
      <w:r w:rsidRPr="007A5089">
        <w:t xml:space="preserve"> tempo 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10/11/2012</w:t>
            </w:r>
          </w:p>
        </w:tc>
        <w:tc>
          <w:tcPr>
            <w:tcW w:w="3210" w:type="dxa"/>
          </w:tcPr>
          <w:p w:rsidR="007A5089" w:rsidRDefault="007A5089" w:rsidP="007A5089">
            <w:r>
              <w:t>15/02/2013 -1 secondo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15/02/2013</w:t>
            </w:r>
          </w:p>
        </w:tc>
        <w:tc>
          <w:tcPr>
            <w:tcW w:w="3210" w:type="dxa"/>
          </w:tcPr>
          <w:p w:rsidR="007A5089" w:rsidRDefault="007A5089" w:rsidP="007A5089">
            <w:r>
              <w:t>31/12/9999</w:t>
            </w:r>
          </w:p>
        </w:tc>
      </w:tr>
    </w:tbl>
    <w:p w:rsidR="007A5089" w:rsidRPr="007A5089" w:rsidRDefault="007A5089" w:rsidP="007A5089">
      <w:r w:rsidRPr="007A5089">
        <w:t>AGEA tempo 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10/11/2012</w:t>
            </w:r>
          </w:p>
        </w:tc>
        <w:tc>
          <w:tcPr>
            <w:tcW w:w="3210" w:type="dxa"/>
          </w:tcPr>
          <w:p w:rsidR="007A5089" w:rsidRDefault="007A5089" w:rsidP="007A5089">
            <w:r>
              <w:t>01/02/2013 -1 secondo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01/02/2013</w:t>
            </w:r>
          </w:p>
        </w:tc>
        <w:tc>
          <w:tcPr>
            <w:tcW w:w="3210" w:type="dxa"/>
          </w:tcPr>
          <w:p w:rsidR="007A5089" w:rsidRDefault="007A5089" w:rsidP="007A5089">
            <w:r>
              <w:t>31/12/9999</w:t>
            </w:r>
          </w:p>
        </w:tc>
      </w:tr>
    </w:tbl>
    <w:p w:rsidR="007A5089" w:rsidRDefault="007A5089" w:rsidP="007A5089"/>
    <w:p w:rsidR="007A5089" w:rsidRDefault="007A5089" w:rsidP="007A5089">
      <w:r>
        <w:t xml:space="preserve">Il software di sincronizzazione a questo punto deve tener conto anche del record lavorato in </w:t>
      </w:r>
      <w:r w:rsidR="009B5E3A">
        <w:t>OP</w:t>
      </w:r>
      <w:r>
        <w:t>, ordinando le particelle per data di inizio validità e gestendo la fine validità. La situazione dopo il tempo 3 deve essere la seguente</w:t>
      </w:r>
    </w:p>
    <w:p w:rsidR="007A5089" w:rsidRDefault="007A5089" w:rsidP="007A5089"/>
    <w:p w:rsidR="007A5089" w:rsidRPr="007A5089" w:rsidRDefault="009B5E3A" w:rsidP="007A5089">
      <w:r>
        <w:lastRenderedPageBreak/>
        <w:t>OP</w:t>
      </w:r>
      <w:r w:rsidR="007A5089" w:rsidRPr="007A5089">
        <w:t xml:space="preserve"> tempo 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10/11/2012</w:t>
            </w:r>
          </w:p>
        </w:tc>
        <w:tc>
          <w:tcPr>
            <w:tcW w:w="3210" w:type="dxa"/>
          </w:tcPr>
          <w:p w:rsidR="007A5089" w:rsidRDefault="007A5089" w:rsidP="007A5089">
            <w:r>
              <w:t>15/02/2013 -1 secondo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15/02/2013</w:t>
            </w:r>
          </w:p>
        </w:tc>
        <w:tc>
          <w:tcPr>
            <w:tcW w:w="3210" w:type="dxa"/>
          </w:tcPr>
          <w:p w:rsidR="007A5089" w:rsidRDefault="007A5089" w:rsidP="007A5089">
            <w:r>
              <w:t>31/12/9999</w:t>
            </w:r>
          </w:p>
        </w:tc>
      </w:tr>
    </w:tbl>
    <w:p w:rsidR="007A5089" w:rsidRPr="007A5089" w:rsidRDefault="007A5089" w:rsidP="007A5089">
      <w:r w:rsidRPr="007A5089">
        <w:t>AGEA tempo 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089" w:rsidTr="00447A89">
        <w:tc>
          <w:tcPr>
            <w:tcW w:w="3209" w:type="dxa"/>
          </w:tcPr>
          <w:p w:rsidR="007A5089" w:rsidRDefault="007A5089" w:rsidP="007A5089">
            <w:r>
              <w:t>PARTICELLA</w:t>
            </w:r>
          </w:p>
        </w:tc>
        <w:tc>
          <w:tcPr>
            <w:tcW w:w="3209" w:type="dxa"/>
          </w:tcPr>
          <w:p w:rsidR="007A5089" w:rsidRDefault="007A5089" w:rsidP="007A5089">
            <w:r>
              <w:t>DATA INIZIO VALIDITA’</w:t>
            </w:r>
          </w:p>
        </w:tc>
        <w:tc>
          <w:tcPr>
            <w:tcW w:w="3210" w:type="dxa"/>
          </w:tcPr>
          <w:p w:rsidR="007A5089" w:rsidRDefault="007A5089" w:rsidP="007A5089">
            <w:r>
              <w:t>DATA FINE VALIDITA’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10/11/2012</w:t>
            </w:r>
          </w:p>
        </w:tc>
        <w:tc>
          <w:tcPr>
            <w:tcW w:w="3210" w:type="dxa"/>
          </w:tcPr>
          <w:p w:rsidR="007A5089" w:rsidRDefault="007A5089" w:rsidP="007A5089">
            <w:r>
              <w:t>01/02/2013 -1 secondo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01/02/2013</w:t>
            </w:r>
          </w:p>
        </w:tc>
        <w:tc>
          <w:tcPr>
            <w:tcW w:w="3210" w:type="dxa"/>
          </w:tcPr>
          <w:p w:rsidR="007A5089" w:rsidRDefault="007A5089" w:rsidP="007A5089">
            <w:r>
              <w:t>15/02/2013 -1 secondo</w:t>
            </w:r>
          </w:p>
        </w:tc>
      </w:tr>
      <w:tr w:rsidR="007A5089" w:rsidTr="00447A89">
        <w:tc>
          <w:tcPr>
            <w:tcW w:w="3209" w:type="dxa"/>
          </w:tcPr>
          <w:p w:rsidR="007A5089" w:rsidRDefault="007A5089" w:rsidP="007A5089">
            <w:r>
              <w:t>AA01</w:t>
            </w:r>
          </w:p>
        </w:tc>
        <w:tc>
          <w:tcPr>
            <w:tcW w:w="3209" w:type="dxa"/>
          </w:tcPr>
          <w:p w:rsidR="007A5089" w:rsidRDefault="007A5089" w:rsidP="007A5089">
            <w:r>
              <w:t>15/02/2013</w:t>
            </w:r>
          </w:p>
        </w:tc>
        <w:tc>
          <w:tcPr>
            <w:tcW w:w="3210" w:type="dxa"/>
          </w:tcPr>
          <w:p w:rsidR="007A5089" w:rsidRDefault="007A5089" w:rsidP="007A5089">
            <w:r>
              <w:t>31/12/9999</w:t>
            </w:r>
          </w:p>
        </w:tc>
      </w:tr>
    </w:tbl>
    <w:p w:rsidR="007A5089" w:rsidRDefault="007A5089" w:rsidP="007A5089"/>
    <w:p w:rsidR="007539E2" w:rsidRDefault="007539E2" w:rsidP="001550CC"/>
    <w:p w:rsidR="00C01E98" w:rsidRDefault="00C01E98" w:rsidP="001550CC">
      <w:r>
        <w:t xml:space="preserve">Tale algoritmo è valido per le tabelle </w:t>
      </w:r>
      <w:r w:rsidR="009B5E3A">
        <w:t xml:space="preserve">relative ai </w:t>
      </w:r>
      <w:proofErr w:type="spellStart"/>
      <w:r w:rsidR="009B5E3A">
        <w:t>centroidi</w:t>
      </w:r>
      <w:proofErr w:type="spellEnd"/>
      <w:r w:rsidR="009B5E3A">
        <w:t>, particelle, usi del suolo, piante ed unità arboree</w:t>
      </w:r>
      <w:r>
        <w:t>.</w:t>
      </w:r>
    </w:p>
    <w:p w:rsidR="00C01E98" w:rsidRDefault="00C01E98" w:rsidP="001550CC"/>
    <w:p w:rsidR="00C01E98" w:rsidRDefault="00C01E98" w:rsidP="001550CC">
      <w:r>
        <w:t xml:space="preserve">Per le </w:t>
      </w:r>
      <w:r w:rsidR="009B5E3A">
        <w:t>varietà e attitudini delle unità arboree</w:t>
      </w:r>
      <w:r>
        <w:t xml:space="preserve"> il sistema estrae i dati da sincronizzazione ed effettua un controllo in AGEA:</w:t>
      </w:r>
    </w:p>
    <w:p w:rsidR="00C01E98" w:rsidRDefault="00C01E98" w:rsidP="00C01E98">
      <w:pPr>
        <w:pStyle w:val="Paragrafoelenco"/>
        <w:numPr>
          <w:ilvl w:val="0"/>
          <w:numId w:val="2"/>
        </w:numPr>
      </w:pPr>
      <w:r>
        <w:t>Se il record è presente allora viene fatto l’update dello stesso</w:t>
      </w:r>
    </w:p>
    <w:p w:rsidR="00C01E98" w:rsidRDefault="00C01E98" w:rsidP="00C01E98">
      <w:pPr>
        <w:pStyle w:val="Paragrafoelenco"/>
        <w:numPr>
          <w:ilvl w:val="0"/>
          <w:numId w:val="2"/>
        </w:numPr>
      </w:pPr>
      <w:r>
        <w:t>Se il record non è presente viene inserito</w:t>
      </w:r>
    </w:p>
    <w:p w:rsidR="00C01E98" w:rsidRDefault="00C01E98" w:rsidP="00C01E98"/>
    <w:p w:rsidR="00C01E98" w:rsidRDefault="00C01E98" w:rsidP="00C01E98"/>
    <w:p w:rsidR="00C01E98" w:rsidRDefault="00C01E98" w:rsidP="00C01E98">
      <w:r>
        <w:t xml:space="preserve">Per le tabelle </w:t>
      </w:r>
      <w:r w:rsidR="009B5E3A">
        <w:t>dei cataloghi dei comuni e sezioni</w:t>
      </w:r>
      <w:r>
        <w:t xml:space="preserve"> è previsto un process</w:t>
      </w:r>
      <w:r w:rsidR="009B5E3A">
        <w:t>o autorizzativo da parte di SIN utilizzando il prodotto cruscotto</w:t>
      </w:r>
      <w:r>
        <w:t>.</w:t>
      </w:r>
      <w:bookmarkStart w:id="0" w:name="_GoBack"/>
      <w:bookmarkEnd w:id="0"/>
    </w:p>
    <w:sectPr w:rsidR="00C01E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E70D5"/>
    <w:multiLevelType w:val="hybridMultilevel"/>
    <w:tmpl w:val="CE588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441AA"/>
    <w:multiLevelType w:val="hybridMultilevel"/>
    <w:tmpl w:val="9342E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0B6"/>
    <w:rsid w:val="000522C5"/>
    <w:rsid w:val="000D44F9"/>
    <w:rsid w:val="00111688"/>
    <w:rsid w:val="001550CC"/>
    <w:rsid w:val="001B4C81"/>
    <w:rsid w:val="001C7AFE"/>
    <w:rsid w:val="0024578A"/>
    <w:rsid w:val="002E0E00"/>
    <w:rsid w:val="004324EC"/>
    <w:rsid w:val="004D7C8D"/>
    <w:rsid w:val="006500C1"/>
    <w:rsid w:val="007539E2"/>
    <w:rsid w:val="007A5089"/>
    <w:rsid w:val="00896BA4"/>
    <w:rsid w:val="008E1C5B"/>
    <w:rsid w:val="009B5E3A"/>
    <w:rsid w:val="00C01E98"/>
    <w:rsid w:val="00CD1BD4"/>
    <w:rsid w:val="00D8479F"/>
    <w:rsid w:val="00EE55A0"/>
    <w:rsid w:val="00F03BA3"/>
    <w:rsid w:val="00F3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066B"/>
  <w15:chartTrackingRefBased/>
  <w15:docId w15:val="{DD07081F-12C9-4798-82B9-D2154C6B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F31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550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">
    <w:name w:val="titolo"/>
    <w:basedOn w:val="Normale"/>
    <w:autoRedefine/>
    <w:rsid w:val="00F310B6"/>
    <w:pPr>
      <w:spacing w:after="360"/>
      <w:jc w:val="center"/>
    </w:pPr>
    <w:rPr>
      <w:rFonts w:ascii="Garamond" w:hAnsi="Garamond" w:cs="Arial"/>
      <w:b/>
      <w:smallCaps/>
    </w:rPr>
  </w:style>
  <w:style w:type="character" w:customStyle="1" w:styleId="Titolo1Carattere">
    <w:name w:val="Titolo 1 Carattere"/>
    <w:basedOn w:val="Carpredefinitoparagrafo"/>
    <w:link w:val="Titolo1"/>
    <w:uiPriority w:val="9"/>
    <w:rsid w:val="001550C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1550CC"/>
    <w:pPr>
      <w:spacing w:line="259" w:lineRule="auto"/>
      <w:outlineLvl w:val="9"/>
    </w:pPr>
  </w:style>
  <w:style w:type="paragraph" w:styleId="Paragrafoelenco">
    <w:name w:val="List Paragraph"/>
    <w:basedOn w:val="Normale"/>
    <w:uiPriority w:val="34"/>
    <w:qFormat/>
    <w:rsid w:val="001550CC"/>
    <w:pPr>
      <w:ind w:left="720"/>
      <w:contextualSpacing/>
    </w:pPr>
  </w:style>
  <w:style w:type="table" w:styleId="Grigliatabella">
    <w:name w:val="Table Grid"/>
    <w:basedOn w:val="Tabellanormale"/>
    <w:uiPriority w:val="39"/>
    <w:rsid w:val="007A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021EC3C98F4C4287FBF372FC5DD079" ma:contentTypeVersion="" ma:contentTypeDescription="Creare un nuovo documento." ma:contentTypeScope="" ma:versionID="b18b925afff24fc0791644a751950045">
  <xsd:schema xmlns:xsd="http://www.w3.org/2001/XMLSchema" xmlns:xs="http://www.w3.org/2001/XMLSchema" xmlns:p="http://schemas.microsoft.com/office/2006/metadata/properties" xmlns:ns2="03bce7ce-ba6b-40af-b4cd-73e3605e8d3f" xmlns:ns3="e4b42d59-4cdb-4a4f-b74b-fc4a8a6b72af" targetNamespace="http://schemas.microsoft.com/office/2006/metadata/properties" ma:root="true" ma:fieldsID="ed7f8a37fe6a72cff0ff105671db8dcb" ns2:_="" ns3:_="">
    <xsd:import namespace="03bce7ce-ba6b-40af-b4cd-73e3605e8d3f"/>
    <xsd:import namespace="e4b42d59-4cdb-4a4f-b74b-fc4a8a6b72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ce7ce-ba6b-40af-b4cd-73e3605e8d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42d59-4cdb-4a4f-b74b-fc4a8a6b72af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D930A4-24F0-4E05-A0B3-FDEAC74EE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7747AD-CAAD-4C7C-BF0C-3219C2C399C8}"/>
</file>

<file path=customXml/itemProps3.xml><?xml version="1.0" encoding="utf-8"?>
<ds:datastoreItem xmlns:ds="http://schemas.openxmlformats.org/officeDocument/2006/customXml" ds:itemID="{97026499-3257-4A8B-98B5-58C354CBE745}"/>
</file>

<file path=customXml/itemProps4.xml><?xml version="1.0" encoding="utf-8"?>
<ds:datastoreItem xmlns:ds="http://schemas.openxmlformats.org/officeDocument/2006/customXml" ds:itemID="{4C420FFC-DE02-45C5-823C-85166E5EB1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Mascolo Simone</dc:creator>
  <cp:keywords/>
  <dc:description/>
  <cp:lastModifiedBy>Mascolo Simone</cp:lastModifiedBy>
  <cp:revision>17</cp:revision>
  <dcterms:created xsi:type="dcterms:W3CDTF">2016-04-11T12:25:00Z</dcterms:created>
  <dcterms:modified xsi:type="dcterms:W3CDTF">2016-06-30T09:39:00Z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0x01010065021EC3C98F4C4287FBF372FC5DD079</vt:lpwstr>
  </property>
</Properties>
</file>